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微软雅黑" w:hAnsi="微软雅黑" w:eastAsia="微软雅黑"/>
          <w:b/>
          <w:bCs/>
          <w:color w:val="333F50" w:themeColor="text2" w:themeShade="BF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bCs/>
          <w:color w:val="333F50" w:themeColor="text2" w:themeShade="BF"/>
          <w:sz w:val="32"/>
          <w:szCs w:val="32"/>
        </w:rPr>
        <w:t>恒瑞医药2</w:t>
      </w:r>
      <w:r>
        <w:rPr>
          <w:rFonts w:ascii="微软雅黑" w:hAnsi="微软雅黑" w:eastAsia="微软雅黑"/>
          <w:b/>
          <w:bCs/>
          <w:color w:val="333F50" w:themeColor="text2" w:themeShade="BF"/>
          <w:sz w:val="32"/>
          <w:szCs w:val="32"/>
        </w:rPr>
        <w:t>02</w:t>
      </w:r>
      <w:r>
        <w:rPr>
          <w:rFonts w:hint="eastAsia" w:ascii="微软雅黑" w:hAnsi="微软雅黑" w:eastAsia="微软雅黑"/>
          <w:b/>
          <w:bCs/>
          <w:color w:val="333F50" w:themeColor="text2" w:themeShade="BF"/>
          <w:sz w:val="32"/>
          <w:szCs w:val="32"/>
        </w:rPr>
        <w:t>1校园行</w:t>
      </w:r>
    </w:p>
    <w:p>
      <w:pPr>
        <w:snapToGrid w:val="0"/>
        <w:spacing w:line="360" w:lineRule="auto"/>
        <w:ind w:firstLine="1540" w:firstLineChars="550"/>
        <w:jc w:val="center"/>
        <w:rPr>
          <w:rFonts w:ascii="微软雅黑" w:hAnsi="微软雅黑" w:eastAsia="微软雅黑"/>
          <w:b/>
          <w:bCs/>
          <w:color w:val="333F50" w:themeColor="text2" w:themeShade="BF"/>
          <w:sz w:val="26"/>
          <w:szCs w:val="26"/>
        </w:rPr>
      </w:pPr>
      <w:r>
        <w:rPr>
          <w:rFonts w:ascii="微软雅黑" w:hAnsi="微软雅黑" w:eastAsia="微软雅黑"/>
          <w:color w:val="333F50" w:themeColor="text2" w:themeShade="BF"/>
          <w:sz w:val="28"/>
          <w:szCs w:val="28"/>
        </w:rPr>
        <w:t xml:space="preserve">        </w:t>
      </w:r>
      <w:r>
        <w:rPr>
          <w:rFonts w:ascii="微软雅黑" w:hAnsi="微软雅黑" w:eastAsia="微软雅黑"/>
          <w:b/>
          <w:bCs/>
          <w:color w:val="333F50" w:themeColor="text2" w:themeShade="BF"/>
          <w:sz w:val="28"/>
          <w:szCs w:val="28"/>
        </w:rPr>
        <w:t xml:space="preserve">  </w:t>
      </w:r>
      <w:r>
        <w:rPr>
          <w:rFonts w:ascii="微软雅黑" w:hAnsi="微软雅黑" w:eastAsia="微软雅黑"/>
          <w:b/>
          <w:bCs/>
          <w:color w:val="333F50" w:themeColor="text2" w:themeShade="BF"/>
          <w:sz w:val="26"/>
          <w:szCs w:val="26"/>
        </w:rPr>
        <w:t xml:space="preserve">  –––</w:t>
      </w:r>
      <w:r>
        <w:rPr>
          <w:rFonts w:hint="eastAsia" w:ascii="微软雅黑" w:hAnsi="微软雅黑" w:eastAsia="微软雅黑"/>
          <w:b/>
          <w:bCs/>
          <w:color w:val="333F50" w:themeColor="text2" w:themeShade="BF"/>
          <w:sz w:val="26"/>
          <w:szCs w:val="26"/>
        </w:rPr>
        <w:t>新瑞力计划</w:t>
      </w:r>
    </w:p>
    <w:p>
      <w:pPr>
        <w:snapToGrid w:val="0"/>
        <w:spacing w:line="360" w:lineRule="auto"/>
        <w:ind w:firstLine="394" w:firstLineChars="197"/>
        <w:rPr>
          <w:rFonts w:ascii="微软雅黑" w:hAnsi="微软雅黑" w:eastAsia="微软雅黑"/>
          <w:color w:val="333F50" w:themeColor="text2" w:themeShade="BF"/>
          <w:sz w:val="20"/>
          <w:szCs w:val="2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江苏恒瑞医药股份有限公司是一家从事医药创新和高品质药品研发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生产及推广的医药健康企业，创建于1970年，2000年在上海证券交易所上市，截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止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20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19年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底，共有全球员工2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4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000余人，是国内知名的抗肿瘤药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手术用药和造影剂的供应商，也是国家抗肿瘤药技术创新产学研联盟牵头单位，建有国家靶向药物工程技术研究中心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博士后科研工作站。2019年，公司实现营业收入232.9亿元，税收24.3亿元，并入选全球制药企业TOP50榜单，位列第47位。</w:t>
      </w:r>
    </w:p>
    <w:p>
      <w:pPr>
        <w:snapToGrid w:val="0"/>
        <w:spacing w:line="360" w:lineRule="auto"/>
        <w:ind w:firstLine="394" w:firstLineChars="197"/>
        <w:rPr>
          <w:rFonts w:ascii="微软雅黑" w:hAnsi="微软雅黑" w:eastAsia="微软雅黑"/>
          <w:color w:val="333F50" w:themeColor="text2" w:themeShade="BF"/>
          <w:sz w:val="20"/>
          <w:szCs w:val="2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在市场竞争的实践中，恒瑞医药坚持以创新为动力，打造核心竞争力。公司近年来每年投入销售额15％左右的研发资金，2019年累计投入研发资金39亿元，占销售收入的比重达到16.7%。公司在美国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欧洲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日本和中国多地建有研发中心或分支机构，打造了一支3400多人的研发团队，其中包括2000多名博士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硕士及200多名海归人士。近年来，公司先后承担了国家重大专项课题44项，已有6个创新药艾瑞昔布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阿帕替尼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硫培非格司亭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吡咯替尼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卡瑞利珠单抗和甲苯磺酸瑞马唑仑获批上市，一批创新药正在临床开发，并有多个创新药在海外开展临床。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截止2020年8月，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公司累计申请国内发明专利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988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项，拥有国内有效授权发明专利2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34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项，欧美日等国外授权专利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337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项，专有核心技术获得国家科技进步二等奖2项，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val="en-US" w:eastAsia="zh-CN"/>
        </w:rPr>
        <w:t>国家发明优秀专利奖2项，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中国专利金奖1项。</w:t>
      </w:r>
    </w:p>
    <w:p>
      <w:pPr>
        <w:snapToGrid w:val="0"/>
        <w:spacing w:line="360" w:lineRule="auto"/>
        <w:ind w:firstLine="394" w:firstLineChars="197"/>
        <w:rPr>
          <w:rFonts w:ascii="微软雅黑" w:hAnsi="微软雅黑" w:eastAsia="微软雅黑"/>
          <w:color w:val="333F50" w:themeColor="text2" w:themeShade="BF"/>
          <w:sz w:val="20"/>
          <w:szCs w:val="2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恒瑞医药本着“诚实守信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质量第一”的经营原则，抗肿瘤药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手术麻醉类用药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特色输液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造影剂市场份额在国内市场名列前茅。目前公司有注射剂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口服制剂和吸入性麻醉剂等19个制剂产品在欧美日上市，实现了国产注射剂在欧美日市场的规模化销售。</w:t>
      </w:r>
    </w:p>
    <w:p>
      <w:pPr>
        <w:snapToGrid w:val="0"/>
        <w:spacing w:line="360" w:lineRule="auto"/>
        <w:ind w:firstLine="394" w:firstLineChars="197"/>
        <w:rPr>
          <w:rFonts w:ascii="微软雅黑" w:hAnsi="微软雅黑" w:eastAsia="微软雅黑"/>
          <w:color w:val="333F50" w:themeColor="text2" w:themeShade="BF"/>
          <w:sz w:val="20"/>
          <w:szCs w:val="2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恒心致远，瑞颐人生。恒瑞医药一直秉承“科研为本，创造健康生活”的理念，以建设中国人的跨国制药集团为总体目标，拼搏进取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勇于创新，不断实现企业发展的新跨越和新突破。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color w:val="333F50" w:themeColor="text2" w:themeShade="BF"/>
          <w:sz w:val="10"/>
          <w:szCs w:val="10"/>
        </w:rPr>
      </w:pPr>
      <w:r>
        <w:rPr>
          <w:rFonts w:hint="eastAsia" w:ascii="微软雅黑" w:hAnsi="微软雅黑" w:eastAsia="微软雅黑"/>
          <w:color w:val="333F50" w:themeColor="text2" w:themeShade="BF"/>
          <w:sz w:val="20"/>
          <w:szCs w:val="20"/>
        </w:rPr>
        <w:t>更多信息请前往恒瑞医药官方网站：</w:t>
      </w:r>
      <w:r>
        <w:rPr>
          <w:rFonts w:ascii="微软雅黑" w:hAnsi="微软雅黑" w:eastAsia="微软雅黑"/>
          <w:color w:val="333F50" w:themeColor="text2" w:themeShade="BF"/>
          <w:sz w:val="20"/>
          <w:szCs w:val="20"/>
        </w:rPr>
        <w:t>http://www.hrs.com.cn</w:t>
      </w:r>
    </w:p>
    <w:p>
      <w:pPr>
        <w:snapToGrid w:val="0"/>
        <w:spacing w:line="276" w:lineRule="auto"/>
        <w:ind w:firstLine="110" w:firstLineChars="50"/>
        <w:rPr>
          <w:rFonts w:ascii="微软雅黑" w:hAnsi="微软雅黑" w:eastAsia="微软雅黑" w:cs="Helvetica Neue"/>
          <w:color w:val="333F50" w:themeColor="text2" w:themeShade="BF"/>
          <w:kern w:val="0"/>
          <w:sz w:val="22"/>
          <w:szCs w:val="22"/>
        </w:rPr>
      </w:pPr>
      <w:r>
        <w:rPr>
          <w:rFonts w:hint="eastAsia" w:ascii="微软雅黑" w:hAnsi="微软雅黑" w:eastAsia="微软雅黑" w:cs="Helvetica Neue"/>
          <w:b/>
          <w:bCs/>
          <w:color w:val="333F50" w:themeColor="text2" w:themeShade="BF"/>
          <w:kern w:val="0"/>
          <w:sz w:val="22"/>
          <w:szCs w:val="22"/>
        </w:rPr>
        <w:t>网申渠道</w:t>
      </w:r>
    </w:p>
    <w:p>
      <w:pPr>
        <w:snapToGrid w:val="0"/>
        <w:spacing w:line="276" w:lineRule="auto"/>
        <w:ind w:firstLine="100" w:firstLineChars="50"/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</w:pP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>手机端：1</w:t>
      </w:r>
      <w:r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 xml:space="preserve">. </w:t>
      </w: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>扫描下方二维码直接投递简历</w:t>
      </w:r>
    </w:p>
    <w:p>
      <w:pPr>
        <w:snapToGrid w:val="0"/>
        <w:spacing w:line="276" w:lineRule="auto"/>
        <w:ind w:firstLine="900" w:firstLineChars="450"/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</w:pPr>
      <w:r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 xml:space="preserve">2. </w:t>
      </w: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>关注“恒瑞医药招聘”公众号，点击菜单栏“精瑞之师—校园招聘”，即可投递简历</w:t>
      </w:r>
    </w:p>
    <w:p>
      <w:pPr>
        <w:snapToGrid w:val="0"/>
        <w:spacing w:line="276" w:lineRule="auto"/>
        <w:ind w:firstLine="100" w:firstLineChars="50"/>
        <w:rPr>
          <w:rFonts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</w:pP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0"/>
          <w:szCs w:val="20"/>
        </w:rPr>
        <w:t>PC端： 网申链接</w:t>
      </w:r>
      <w:r>
        <w:rPr>
          <w:rStyle w:val="9"/>
        </w:rPr>
        <w:t>http://campus.51job.com/hengruiyy2021</w:t>
      </w:r>
    </w:p>
    <w:p>
      <w:pPr>
        <w:ind w:firstLine="910" w:firstLineChars="350"/>
        <w:jc w:val="left"/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6"/>
          <w:szCs w:val="26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hint="eastAsia" w:ascii="微软雅黑" w:hAnsi="微软雅黑" w:eastAsia="微软雅黑" w:cs="Helvetica Neue"/>
          <w:color w:val="333F50" w:themeColor="text2" w:themeShade="BF"/>
          <w:kern w:val="0"/>
          <w:sz w:val="26"/>
          <w:szCs w:val="26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drawing>
          <wp:inline distT="0" distB="0" distL="114300" distR="114300">
            <wp:extent cx="1296035" cy="1296035"/>
            <wp:effectExtent l="0" t="0" r="14605" b="14605"/>
            <wp:docPr id="2" name="图片 2" descr="031fabddc75672b0736d84affbc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1fabddc75672b0736d84affbc61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910" w:firstLineChars="350"/>
        <w:jc w:val="left"/>
        <w:rPr>
          <w:rFonts w:ascii="微软雅黑" w:hAnsi="微软雅黑" w:eastAsia="微软雅黑" w:cs="Helvetica Neue"/>
          <w:color w:val="333F50" w:themeColor="text2" w:themeShade="BF"/>
          <w:kern w:val="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>
      <w:pPr>
        <w:spacing w:line="720" w:lineRule="auto"/>
        <w:jc w:val="center"/>
        <w:rPr>
          <w:rFonts w:ascii="微软雅黑" w:hAnsi="微软雅黑" w:eastAsia="微软雅黑"/>
          <w:b/>
          <w:bCs/>
          <w:color w:val="333F50" w:themeColor="text2" w:themeShade="BF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333F50" w:themeColor="text2" w:themeShade="BF"/>
          <w:sz w:val="32"/>
          <w:szCs w:val="32"/>
        </w:rPr>
        <w:t>恒瑞医药2</w:t>
      </w:r>
      <w:r>
        <w:rPr>
          <w:rFonts w:ascii="微软雅黑" w:hAnsi="微软雅黑" w:eastAsia="微软雅黑"/>
          <w:b/>
          <w:bCs/>
          <w:color w:val="333F50" w:themeColor="text2" w:themeShade="BF"/>
          <w:sz w:val="32"/>
          <w:szCs w:val="32"/>
        </w:rPr>
        <w:t>02</w:t>
      </w:r>
      <w:r>
        <w:rPr>
          <w:rFonts w:hint="eastAsia" w:ascii="微软雅黑" w:hAnsi="微软雅黑" w:eastAsia="微软雅黑"/>
          <w:b/>
          <w:bCs/>
          <w:color w:val="333F50" w:themeColor="text2" w:themeShade="BF"/>
          <w:sz w:val="32"/>
          <w:szCs w:val="32"/>
        </w:rPr>
        <w:t>1校招计划</w:t>
      </w:r>
    </w:p>
    <w:tbl>
      <w:tblPr>
        <w:tblStyle w:val="6"/>
        <w:tblW w:w="5245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48"/>
        <w:gridCol w:w="567"/>
        <w:gridCol w:w="1131"/>
        <w:gridCol w:w="4112"/>
        <w:gridCol w:w="2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岗位体系</w:t>
            </w:r>
          </w:p>
        </w:tc>
        <w:tc>
          <w:tcPr>
            <w:tcW w:w="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岗位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人数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学历</w:t>
            </w:r>
          </w:p>
        </w:tc>
        <w:tc>
          <w:tcPr>
            <w:tcW w:w="1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专业</w:t>
            </w:r>
          </w:p>
        </w:tc>
        <w:tc>
          <w:tcPr>
            <w:tcW w:w="10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营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销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医药信息沟通专员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医药/化学/生物/营销相关专业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患教专员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信阳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哈尔滨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南通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徐州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济宁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青岛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泰安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医学专员-上市后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医药/生物/临床等相关专业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数据管理员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上海/南京/济南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临床监察员-上市后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医药相关专业（临床医学/药学/护理学优先）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KA专员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合肥/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兰州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贵阳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海口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石家庄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哈尔滨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长春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沈阳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西安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杭州/衢州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重庆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数据库程序员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信息管理与系统/计算机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上海/南京/济南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国际事务专员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英语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/日语/口译/笔译/医学英语等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系统开发工程师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计算机/软件工程/网络工程等相关专业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项目专员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效率运营专员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统计学/数学相关专业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石家庄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医学策略专员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临床医学/营养/药学/生物相关专业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运营管理专员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医药/财务相关专业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连云港/南京/成都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行政管理/工商管理/文秘/汉语言文学相关专业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销售管理会计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财务管理/审计学/会计学/统计/金融等相关专业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财务专员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会计/财务/金融/统计等相关专业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账务稽查专员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财务/审计类专业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招采事务专员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财务/会计/统计/医药等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政府事务专员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医药/公共关系/行政管理等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武汉/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临床项目启动专员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临床药学/医学及护理学等专业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郑州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长春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highlight w:val="yellow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临床协调专员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lang w:val="en-US" w:eastAsia="zh-CN"/>
              </w:rPr>
              <w:t>-上市后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医药/护理/生物/化学/市场营销相关专业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南宁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郑州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/南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南昌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太原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天津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杭州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温州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重庆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/蚌埠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稽查专员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/药理/护理/医药相关专业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内容运营专员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肿瘤相关专业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综合业务专员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财务/审计/统计/计算机/管理类相关专业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商务专员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财务审计/医药/物流/营销等相关专业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临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床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临床监查员-上市前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医药/生物/化学/临床/护理相关专业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CTA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预防医学/临床医学/药学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连云港/长沙/</w:t>
            </w:r>
            <w:r>
              <w:rPr>
                <w:rFonts w:ascii="微软雅黑" w:hAnsi="微软雅黑" w:eastAsia="微软雅黑"/>
                <w:color w:val="333F4F"/>
                <w:sz w:val="16"/>
                <w:szCs w:val="16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药品管理员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临床统计师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统计学/数学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医学助理经理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临床药理（助理）经理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药理学/生物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/生物医学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临床医学相关专业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药物安全专员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临床文档管理专员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222B35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222B35"/>
                <w:sz w:val="16"/>
                <w:szCs w:val="16"/>
              </w:rPr>
              <w:t>预防医学/临床医学/药学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医学信息和医学写作员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眼科医学/视光学/医学/核医学/肿瘤学/神经科学等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上海/北京/天津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注册专员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驻地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C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预防医学/临床医学/药学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长沙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沈阳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临床协调专员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  <w:lang w:val="en-US" w:eastAsia="zh-CN"/>
              </w:rPr>
              <w:t>-上市前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医药/生物/卫生/市场营销等相关专业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贵阳/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长沙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南昌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合肥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青岛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西安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哈尔滨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北京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杭州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生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产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QA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化学/医药/生物相关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连云港/上海/成都/苏州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QC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药学/化学及其相关专业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连云港/济南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成都/上海/厦门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设备员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过程装备与控制/土木工程/自动化机械/暖通/电气/机电/水处理及其相关专业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制剂工程师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药学/化学/合成/发酵/生物相关专业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连云港/上海/成都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安全管理员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安全工程/环境工程/化工分析/电气或设备等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成品保管员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财务/物流等专业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细胞工程师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配液工程师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纯化工程师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IT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计算机相关专业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称量专员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生产计划专员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生产储备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有机化学/制药（研究方向合成）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计量校验员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仪器仪表/机械电子类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注吹/注塑/药学/化学及其相关专业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连云港/济南/上海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仓储技术员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医药/物流/仓库管理等相关专业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连云港/济南/苏州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操作员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大专及以上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药学/机械/化学/化工等相关专业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分析研发专员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工艺研发员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药学/化学/合成等相关专业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研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发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分析研究员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药物制剂/药物分析/药学微生物学/生物化学与分子生物学/细胞生物学/放射化学/放射分析等相关专业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成都/厦门/济南/上海/南京/连云港/苏州/天津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药物分析研究员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药物分析/分析化学/药学/化学/材料学等相关专业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连云港/上海/南京/济南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合成研究员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若干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有机化学/生物化学/药学等相关专业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成都/厦门/连云港/上海/苏州/天津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合成工艺研究员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有机合成/药物化学以及相关专业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QC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药物/化学分析及相关专业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QA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工艺研究员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生物/酶工程/药学/机械电子/高分子/医学等相关专业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毒理学研究员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卫生毒理或动物/药理相关专业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计算化学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计算生物研究员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计算化学/计算生物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体外生物研究员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细胞生物学/分子生物学/免疫学/药理学专业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药物代谢研究员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药代相关专业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药代动力学研究员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药代/药物分析相关专业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靶点研究员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生物/药物研发等相关专业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细胞培养研究员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生物化工/发酵类专业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下游纯化工程师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生物化工类专业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嵌入式软件工程师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计算机/通信等相关专业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系统工程师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电子/机械/机电一体化等相关专业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研发工程师/技术员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金属/高分子材料/机械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研发质量工程师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工科专业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苏州/上海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医学支持/临床试验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临床医学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硬件工程师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电子/计算机等相关专业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动物实验人员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生物兽医/分子生物学/细胞生物学/药理毒理学等相关专业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临床检验员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医学检验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放射标记员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放射化学/放射性药物等相关专业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细胞和微生物实验人员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生物学相关专业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管理培训生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生物工程/药学/医学检验等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药代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毒理研究员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药理/药学/生物工程等相关专业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项目管理员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医药/生物/化学相关专业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临床营养研究员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营养学/临床医学等相关专业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配方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包材工程师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食品/营养/包装材料等相关专业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注册专员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药事管理/药学/生物相关专业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成都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  <w:r>
              <w:rPr>
                <w:rFonts w:hint="eastAsia" w:ascii="微软雅黑" w:hAnsi="微软雅黑" w:eastAsia="微软雅黑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苏州/上海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机械/机电一体化等相关专业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菌种研究员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疫苗研究员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药学/生物学等相关专业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临床前开发部项目经理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药理学/药代动力学/毒理学/生物学/基础医学/血液学/眼科/自身免疫性疾病及代谢疾病相关专业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项目经理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病毒学/神经药理学/生物学/医学/药学相关专业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注册经理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商务发展副经理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经理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免疫学/细胞生物学/分子生物学/生物化学/药学等相关专业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助理研究员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生物学/医学/药学相关专业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研究员/助理研究员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病毒学，分子生物学，细胞生物学，医学相关专业，硕士以上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蛋白质科学家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生物/化学/药学相关专业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药效评价研究员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药理/药学/生物工程等相关专业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研究员/高级研究员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医药/生物相关专业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核酸化学（副）研究员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核酸药物递送研究员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化学/药学/药剂学/生物材料等相关专业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药物合成研究员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合成/纯化工艺（副）研究员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生物测试副研究员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免疫学，细胞生物学，分子生物学，生物化学，药学等相关专业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厦门/连云港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药效评价研究员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药理/生物/医学相关专业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分子生物学研究员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分子生物学/基因工程/免疫学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处方前研究员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化学/化工/药学/制药工程/物理化学等相关专业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测试工程师</w:t>
            </w:r>
            <w:r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/</w:t>
            </w: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机械/机电一体化/医疗器械维修/计算机等相关专业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蛋白纯化研究员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厦门/苏州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制剂研究员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生物/药物制剂/药剂学等相关专业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上海/南京/连云港/苏州/成都/厦门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下游纯化研究员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生物化工类专业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药物化学研究员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博士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药物化学/有机合成相关专业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抗体药物研究员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生物学/药物研发等相关专业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职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能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体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21"/>
                <w:szCs w:val="21"/>
              </w:rPr>
              <w:t>系</w:t>
            </w: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工程审计专员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工程审计/工程管理/工程造价/土木工程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装饰材料技术员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土木工程/工程造价/工程审计/室内装饰/工程管理等专业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国际物流专员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物流相关专业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国际药政专员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国际业务专员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药学/化学/生物/国际贸易等相关专业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连云港/上海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证券事务专员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药学/化学等医药相关专业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上海/连云港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投资管理专员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药学/生物/化学等医药相关专业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医疗器械研发工程师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机械设计制造及其自动化/机械工程/机械电子/自动化等相关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行政文宣专员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行政管理/新闻/中文等相关专业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财务审计专员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财务/审计/会计相关专业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助理开发工程师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计算机科学技术/软件工程相关专业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财务管理、会计等相关专业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上海/连云港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法务专员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法学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连云港/南京/上海/北京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专利策略专员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硕士及以上</w:t>
            </w:r>
          </w:p>
        </w:tc>
        <w:tc>
          <w:tcPr>
            <w:tcW w:w="1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333F50" w:themeColor="text2" w:themeShade="BF"/>
                <w:kern w:val="0"/>
                <w:sz w:val="16"/>
                <w:szCs w:val="16"/>
              </w:rPr>
              <w:t>化学工程与工艺/化工机械/药物化学</w:t>
            </w:r>
          </w:p>
        </w:tc>
        <w:tc>
          <w:tcPr>
            <w:tcW w:w="10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F4F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color w:val="333F4F"/>
                <w:sz w:val="16"/>
                <w:szCs w:val="16"/>
              </w:rPr>
              <w:t>连云港/苏州</w:t>
            </w:r>
          </w:p>
        </w:tc>
      </w:tr>
    </w:tbl>
    <w:p>
      <w:pPr>
        <w:tabs>
          <w:tab w:val="left" w:pos="980"/>
        </w:tabs>
        <w:spacing w:line="360" w:lineRule="auto"/>
        <w:rPr>
          <w:rFonts w:ascii="微软雅黑" w:hAnsi="微软雅黑" w:eastAsia="微软雅黑"/>
          <w:color w:val="333F50" w:themeColor="text2" w:themeShade="BF"/>
        </w:rPr>
      </w:pPr>
    </w:p>
    <w:sectPr>
      <w:headerReference r:id="rId3" w:type="default"/>
      <w:pgSz w:w="11900" w:h="16840"/>
      <w:pgMar w:top="720" w:right="720" w:bottom="720" w:left="720" w:header="56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 w:firstLineChars="100"/>
      <w:jc w:val="left"/>
      <w:rPr>
        <w:rFonts w:ascii="微软雅黑" w:hAnsi="微软雅黑" w:eastAsia="微软雅黑"/>
      </w:rPr>
    </w:pPr>
    <w:r>
      <w:rPr>
        <w:rFonts w:hint="eastAsia" w:ascii="微软雅黑" w:hAnsi="微软雅黑" w:eastAsia="微软雅黑"/>
        <w:color w:val="262626" w:themeColor="text1" w:themeTint="D9"/>
        <w:sz w:val="36"/>
        <w:szCs w:val="32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  <w:drawing>
        <wp:inline distT="0" distB="0" distL="114300" distR="114300">
          <wp:extent cx="666750" cy="328295"/>
          <wp:effectExtent l="0" t="0" r="0" b="14605"/>
          <wp:docPr id="5" name="图片 2" descr="江苏恒瑞医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江苏恒瑞医药logo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软雅黑" w:hAnsi="微软雅黑" w:eastAsia="微软雅黑"/>
      </w:rPr>
      <w:t xml:space="preserve">                                                                     </w:t>
    </w:r>
    <w:r>
      <w:rPr>
        <w:rFonts w:ascii="微软雅黑" w:hAnsi="微软雅黑" w:eastAsia="微软雅黑"/>
        <w:sz w:val="16"/>
        <w:szCs w:val="16"/>
      </w:rPr>
      <w:t xml:space="preserve">    </w:t>
    </w:r>
    <w:r>
      <w:rPr>
        <w:rFonts w:hint="eastAsia" w:ascii="微软雅黑" w:hAnsi="微软雅黑" w:eastAsia="微软雅黑"/>
        <w:sz w:val="16"/>
        <w:szCs w:val="16"/>
      </w:rPr>
      <w:t>江苏恒瑞医药股份有限公司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B2"/>
    <w:rsid w:val="00005F78"/>
    <w:rsid w:val="00006962"/>
    <w:rsid w:val="00007633"/>
    <w:rsid w:val="00011A01"/>
    <w:rsid w:val="00031760"/>
    <w:rsid w:val="00032A28"/>
    <w:rsid w:val="0003416E"/>
    <w:rsid w:val="00042AE7"/>
    <w:rsid w:val="00046B22"/>
    <w:rsid w:val="00054661"/>
    <w:rsid w:val="0006455A"/>
    <w:rsid w:val="00077A2C"/>
    <w:rsid w:val="00077AD5"/>
    <w:rsid w:val="0009207B"/>
    <w:rsid w:val="000A08E9"/>
    <w:rsid w:val="000A17CE"/>
    <w:rsid w:val="000A770B"/>
    <w:rsid w:val="000E432A"/>
    <w:rsid w:val="000F6810"/>
    <w:rsid w:val="00125ABC"/>
    <w:rsid w:val="001344AD"/>
    <w:rsid w:val="00174F48"/>
    <w:rsid w:val="001816BC"/>
    <w:rsid w:val="001845BB"/>
    <w:rsid w:val="001B5599"/>
    <w:rsid w:val="001C4C3C"/>
    <w:rsid w:val="001D1437"/>
    <w:rsid w:val="001D3CEC"/>
    <w:rsid w:val="001D601B"/>
    <w:rsid w:val="001E44A1"/>
    <w:rsid w:val="001E45CA"/>
    <w:rsid w:val="001E6725"/>
    <w:rsid w:val="001F2879"/>
    <w:rsid w:val="001F3676"/>
    <w:rsid w:val="0020362B"/>
    <w:rsid w:val="0020499F"/>
    <w:rsid w:val="002133BF"/>
    <w:rsid w:val="002210D0"/>
    <w:rsid w:val="00226686"/>
    <w:rsid w:val="002304B2"/>
    <w:rsid w:val="00236F24"/>
    <w:rsid w:val="00243843"/>
    <w:rsid w:val="002504C5"/>
    <w:rsid w:val="0025165A"/>
    <w:rsid w:val="00252155"/>
    <w:rsid w:val="0025302A"/>
    <w:rsid w:val="0026676D"/>
    <w:rsid w:val="0028157C"/>
    <w:rsid w:val="00282BC8"/>
    <w:rsid w:val="00283D38"/>
    <w:rsid w:val="00286DC1"/>
    <w:rsid w:val="0028797A"/>
    <w:rsid w:val="002A01D7"/>
    <w:rsid w:val="002A6FCC"/>
    <w:rsid w:val="002B20C3"/>
    <w:rsid w:val="002B3EE3"/>
    <w:rsid w:val="002C736D"/>
    <w:rsid w:val="002E3ED2"/>
    <w:rsid w:val="002E41BD"/>
    <w:rsid w:val="00303A20"/>
    <w:rsid w:val="003101E7"/>
    <w:rsid w:val="003152CA"/>
    <w:rsid w:val="0033485D"/>
    <w:rsid w:val="00336019"/>
    <w:rsid w:val="00340B71"/>
    <w:rsid w:val="00355ADF"/>
    <w:rsid w:val="00363CAC"/>
    <w:rsid w:val="00391A5A"/>
    <w:rsid w:val="003954C1"/>
    <w:rsid w:val="003A7EE6"/>
    <w:rsid w:val="003B26FF"/>
    <w:rsid w:val="003C386F"/>
    <w:rsid w:val="003E5CF5"/>
    <w:rsid w:val="00401067"/>
    <w:rsid w:val="0040315D"/>
    <w:rsid w:val="00403747"/>
    <w:rsid w:val="00406ED2"/>
    <w:rsid w:val="004120CA"/>
    <w:rsid w:val="00423408"/>
    <w:rsid w:val="004478D2"/>
    <w:rsid w:val="004542C1"/>
    <w:rsid w:val="004544A5"/>
    <w:rsid w:val="004576A9"/>
    <w:rsid w:val="00474F41"/>
    <w:rsid w:val="00480168"/>
    <w:rsid w:val="004862CC"/>
    <w:rsid w:val="004A183A"/>
    <w:rsid w:val="004A35D5"/>
    <w:rsid w:val="004A4E84"/>
    <w:rsid w:val="004A7D87"/>
    <w:rsid w:val="004B550F"/>
    <w:rsid w:val="004C1273"/>
    <w:rsid w:val="004C4588"/>
    <w:rsid w:val="004D0A17"/>
    <w:rsid w:val="004D2C82"/>
    <w:rsid w:val="004E68D1"/>
    <w:rsid w:val="004F22EF"/>
    <w:rsid w:val="004F4774"/>
    <w:rsid w:val="005068E9"/>
    <w:rsid w:val="0051353E"/>
    <w:rsid w:val="005146B2"/>
    <w:rsid w:val="005246AF"/>
    <w:rsid w:val="0052689D"/>
    <w:rsid w:val="00533932"/>
    <w:rsid w:val="00536308"/>
    <w:rsid w:val="00543AEB"/>
    <w:rsid w:val="005471C3"/>
    <w:rsid w:val="005573BA"/>
    <w:rsid w:val="00571612"/>
    <w:rsid w:val="00572375"/>
    <w:rsid w:val="0057669F"/>
    <w:rsid w:val="00582BE2"/>
    <w:rsid w:val="00585AA0"/>
    <w:rsid w:val="0059570D"/>
    <w:rsid w:val="005E1693"/>
    <w:rsid w:val="005E62D8"/>
    <w:rsid w:val="005F21C3"/>
    <w:rsid w:val="005F47FA"/>
    <w:rsid w:val="00606FEF"/>
    <w:rsid w:val="00616273"/>
    <w:rsid w:val="006220D3"/>
    <w:rsid w:val="00636A45"/>
    <w:rsid w:val="006424D6"/>
    <w:rsid w:val="00642E26"/>
    <w:rsid w:val="00647E20"/>
    <w:rsid w:val="00663541"/>
    <w:rsid w:val="006762CD"/>
    <w:rsid w:val="006814A6"/>
    <w:rsid w:val="00686E7F"/>
    <w:rsid w:val="00695F91"/>
    <w:rsid w:val="006A1C06"/>
    <w:rsid w:val="006A3388"/>
    <w:rsid w:val="006B3C1F"/>
    <w:rsid w:val="006C3E4B"/>
    <w:rsid w:val="006C626E"/>
    <w:rsid w:val="006D05BF"/>
    <w:rsid w:val="006E063B"/>
    <w:rsid w:val="006F2199"/>
    <w:rsid w:val="006F2777"/>
    <w:rsid w:val="006F5C82"/>
    <w:rsid w:val="006F740D"/>
    <w:rsid w:val="007266FE"/>
    <w:rsid w:val="00731783"/>
    <w:rsid w:val="00731C89"/>
    <w:rsid w:val="0074066B"/>
    <w:rsid w:val="007459C7"/>
    <w:rsid w:val="007610D8"/>
    <w:rsid w:val="0077610F"/>
    <w:rsid w:val="00785C6B"/>
    <w:rsid w:val="00787BEB"/>
    <w:rsid w:val="007A05C9"/>
    <w:rsid w:val="007A54B2"/>
    <w:rsid w:val="007B30B6"/>
    <w:rsid w:val="007B7CD6"/>
    <w:rsid w:val="007C2934"/>
    <w:rsid w:val="007C6742"/>
    <w:rsid w:val="007F4F47"/>
    <w:rsid w:val="00800072"/>
    <w:rsid w:val="00810509"/>
    <w:rsid w:val="00815FB2"/>
    <w:rsid w:val="00824413"/>
    <w:rsid w:val="0083264C"/>
    <w:rsid w:val="008432CE"/>
    <w:rsid w:val="008555CB"/>
    <w:rsid w:val="00856212"/>
    <w:rsid w:val="008709CE"/>
    <w:rsid w:val="00871B48"/>
    <w:rsid w:val="00881AD2"/>
    <w:rsid w:val="00887161"/>
    <w:rsid w:val="008A39B0"/>
    <w:rsid w:val="008B2DE4"/>
    <w:rsid w:val="008C4212"/>
    <w:rsid w:val="008C515B"/>
    <w:rsid w:val="008D6527"/>
    <w:rsid w:val="008E5A95"/>
    <w:rsid w:val="008F67A5"/>
    <w:rsid w:val="008F7885"/>
    <w:rsid w:val="008F7BA3"/>
    <w:rsid w:val="00902D00"/>
    <w:rsid w:val="0090699A"/>
    <w:rsid w:val="00916C54"/>
    <w:rsid w:val="00926602"/>
    <w:rsid w:val="00933752"/>
    <w:rsid w:val="00944805"/>
    <w:rsid w:val="00945007"/>
    <w:rsid w:val="009569B9"/>
    <w:rsid w:val="00962753"/>
    <w:rsid w:val="00973406"/>
    <w:rsid w:val="00991A18"/>
    <w:rsid w:val="00994450"/>
    <w:rsid w:val="009B4AB4"/>
    <w:rsid w:val="009D396B"/>
    <w:rsid w:val="009D7E34"/>
    <w:rsid w:val="009E6048"/>
    <w:rsid w:val="009F3270"/>
    <w:rsid w:val="009F737A"/>
    <w:rsid w:val="009F792B"/>
    <w:rsid w:val="00A04871"/>
    <w:rsid w:val="00A1744F"/>
    <w:rsid w:val="00A23BA6"/>
    <w:rsid w:val="00A27E8D"/>
    <w:rsid w:val="00A31AE0"/>
    <w:rsid w:val="00A34345"/>
    <w:rsid w:val="00A47175"/>
    <w:rsid w:val="00A56D04"/>
    <w:rsid w:val="00A57964"/>
    <w:rsid w:val="00A7572B"/>
    <w:rsid w:val="00A77439"/>
    <w:rsid w:val="00A849EA"/>
    <w:rsid w:val="00A87CB6"/>
    <w:rsid w:val="00A91CD6"/>
    <w:rsid w:val="00AA55AB"/>
    <w:rsid w:val="00AC0494"/>
    <w:rsid w:val="00AD3A84"/>
    <w:rsid w:val="00AE2842"/>
    <w:rsid w:val="00AF014F"/>
    <w:rsid w:val="00AF4F6C"/>
    <w:rsid w:val="00B10F69"/>
    <w:rsid w:val="00B12885"/>
    <w:rsid w:val="00B23864"/>
    <w:rsid w:val="00B24E09"/>
    <w:rsid w:val="00B32124"/>
    <w:rsid w:val="00B40B01"/>
    <w:rsid w:val="00B41027"/>
    <w:rsid w:val="00B412A9"/>
    <w:rsid w:val="00B503FE"/>
    <w:rsid w:val="00B52E3E"/>
    <w:rsid w:val="00B54100"/>
    <w:rsid w:val="00B564F8"/>
    <w:rsid w:val="00B67671"/>
    <w:rsid w:val="00B67D93"/>
    <w:rsid w:val="00B750DC"/>
    <w:rsid w:val="00B763EB"/>
    <w:rsid w:val="00B82C26"/>
    <w:rsid w:val="00B82CF5"/>
    <w:rsid w:val="00B83DB0"/>
    <w:rsid w:val="00B84928"/>
    <w:rsid w:val="00B9023F"/>
    <w:rsid w:val="00BB63DE"/>
    <w:rsid w:val="00BB7E09"/>
    <w:rsid w:val="00BD23ED"/>
    <w:rsid w:val="00BE7121"/>
    <w:rsid w:val="00BF5A27"/>
    <w:rsid w:val="00BF5AA8"/>
    <w:rsid w:val="00C0015B"/>
    <w:rsid w:val="00C200B7"/>
    <w:rsid w:val="00C22560"/>
    <w:rsid w:val="00C35C17"/>
    <w:rsid w:val="00C40BD9"/>
    <w:rsid w:val="00C7331C"/>
    <w:rsid w:val="00C820DD"/>
    <w:rsid w:val="00C832A3"/>
    <w:rsid w:val="00C8385D"/>
    <w:rsid w:val="00C96E20"/>
    <w:rsid w:val="00CB2A0E"/>
    <w:rsid w:val="00CB2C2B"/>
    <w:rsid w:val="00CC6D51"/>
    <w:rsid w:val="00CC7565"/>
    <w:rsid w:val="00CD1280"/>
    <w:rsid w:val="00CD1C30"/>
    <w:rsid w:val="00CE454C"/>
    <w:rsid w:val="00CE4E90"/>
    <w:rsid w:val="00D05C6F"/>
    <w:rsid w:val="00D17E2E"/>
    <w:rsid w:val="00D243F9"/>
    <w:rsid w:val="00D24FF4"/>
    <w:rsid w:val="00D30C38"/>
    <w:rsid w:val="00D5354A"/>
    <w:rsid w:val="00D60DE0"/>
    <w:rsid w:val="00D61D6F"/>
    <w:rsid w:val="00D661D2"/>
    <w:rsid w:val="00D70C95"/>
    <w:rsid w:val="00D83F71"/>
    <w:rsid w:val="00D9207F"/>
    <w:rsid w:val="00D9273B"/>
    <w:rsid w:val="00DA0186"/>
    <w:rsid w:val="00DA25A4"/>
    <w:rsid w:val="00DB198F"/>
    <w:rsid w:val="00DD14AD"/>
    <w:rsid w:val="00DD1ECD"/>
    <w:rsid w:val="00DD439D"/>
    <w:rsid w:val="00DD7F12"/>
    <w:rsid w:val="00DE0679"/>
    <w:rsid w:val="00DE23EE"/>
    <w:rsid w:val="00DE6A33"/>
    <w:rsid w:val="00DE6E69"/>
    <w:rsid w:val="00DF2B05"/>
    <w:rsid w:val="00DF3367"/>
    <w:rsid w:val="00DF3789"/>
    <w:rsid w:val="00DF513A"/>
    <w:rsid w:val="00E000C0"/>
    <w:rsid w:val="00E15A78"/>
    <w:rsid w:val="00E32E3B"/>
    <w:rsid w:val="00E40578"/>
    <w:rsid w:val="00E408C9"/>
    <w:rsid w:val="00E4207F"/>
    <w:rsid w:val="00E4290F"/>
    <w:rsid w:val="00E53200"/>
    <w:rsid w:val="00E53B02"/>
    <w:rsid w:val="00E57ABB"/>
    <w:rsid w:val="00E6714A"/>
    <w:rsid w:val="00E716A1"/>
    <w:rsid w:val="00E726F3"/>
    <w:rsid w:val="00E73CA1"/>
    <w:rsid w:val="00E821BC"/>
    <w:rsid w:val="00E95A5D"/>
    <w:rsid w:val="00EA31B7"/>
    <w:rsid w:val="00EA3354"/>
    <w:rsid w:val="00EB1711"/>
    <w:rsid w:val="00EC41C1"/>
    <w:rsid w:val="00EE0DE2"/>
    <w:rsid w:val="00EE64D6"/>
    <w:rsid w:val="00EF349A"/>
    <w:rsid w:val="00EF38A6"/>
    <w:rsid w:val="00EF5A3C"/>
    <w:rsid w:val="00F013C9"/>
    <w:rsid w:val="00F07ECC"/>
    <w:rsid w:val="00F1348D"/>
    <w:rsid w:val="00F17198"/>
    <w:rsid w:val="00F21933"/>
    <w:rsid w:val="00F237CC"/>
    <w:rsid w:val="00F256DF"/>
    <w:rsid w:val="00F25D43"/>
    <w:rsid w:val="00F3708F"/>
    <w:rsid w:val="00F43FB3"/>
    <w:rsid w:val="00F52AA3"/>
    <w:rsid w:val="00F53701"/>
    <w:rsid w:val="00F5446E"/>
    <w:rsid w:val="00F54EAE"/>
    <w:rsid w:val="00F75DC0"/>
    <w:rsid w:val="00F76E65"/>
    <w:rsid w:val="00F87CF6"/>
    <w:rsid w:val="00F92085"/>
    <w:rsid w:val="00F941D3"/>
    <w:rsid w:val="00FC4E94"/>
    <w:rsid w:val="00FC53AE"/>
    <w:rsid w:val="00FC5900"/>
    <w:rsid w:val="00FC639A"/>
    <w:rsid w:val="00FD3661"/>
    <w:rsid w:val="00FD6109"/>
    <w:rsid w:val="00FF76CA"/>
    <w:rsid w:val="00FF7991"/>
    <w:rsid w:val="12C4014D"/>
    <w:rsid w:val="1A197214"/>
    <w:rsid w:val="1AEE4DC2"/>
    <w:rsid w:val="45490A46"/>
    <w:rsid w:val="5B1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1"/>
      <w:szCs w:val="22"/>
    </w:rPr>
  </w:style>
  <w:style w:type="character" w:customStyle="1" w:styleId="14">
    <w:name w:val="批注框文本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898CC-CDBC-41D7-9286-3B68F9F19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905</Words>
  <Characters>5164</Characters>
  <Lines>43</Lines>
  <Paragraphs>12</Paragraphs>
  <TotalTime>18</TotalTime>
  <ScaleCrop>false</ScaleCrop>
  <LinksUpToDate>false</LinksUpToDate>
  <CharactersWithSpaces>6057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2020-03-18T13:20:00Z</dcterms:created>
  <dc:creator>18651706095@163.com</dc:creator>
  <cp:lastModifiedBy>Administrator</cp:lastModifiedBy>
  <cp:lastPrinted>2020-03-10T03:01:00Z</cp:lastPrinted>
  <dcterms:modified xsi:type="dcterms:W3CDTF">2020-10-10T05:03:05Z</dcterms:modified>
  <cp:revision>305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